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D3E7" w14:textId="77777777" w:rsidR="00841D52" w:rsidRDefault="00A65A9F" w:rsidP="00A65A9F">
      <w:pPr>
        <w:rPr>
          <w:rFonts w:ascii="Arial" w:hAnsi="Arial" w:cs="Arial"/>
          <w:b/>
          <w:bCs/>
          <w:color w:val="3DCD58"/>
          <w:sz w:val="40"/>
          <w:szCs w:val="40"/>
          <w:lang w:val="cs-CZ"/>
        </w:rPr>
      </w:pPr>
      <w:r w:rsidRPr="00A65A9F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Pracoviště budoucnosti? </w:t>
      </w:r>
    </w:p>
    <w:p w14:paraId="1CC321BA" w14:textId="43B6C59C" w:rsidR="00033696" w:rsidRDefault="00A65A9F" w:rsidP="00A65A9F">
      <w:pPr>
        <w:rPr>
          <w:rFonts w:ascii="Arial" w:hAnsi="Arial" w:cs="Arial"/>
          <w:b/>
          <w:bCs/>
          <w:color w:val="3DCD58"/>
          <w:sz w:val="40"/>
          <w:szCs w:val="40"/>
          <w:lang w:val="cs-CZ"/>
        </w:rPr>
      </w:pPr>
      <w:r w:rsidRPr="00A65A9F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Estetická a úsporná centrála ČSOB v Hradci Králové</w:t>
      </w:r>
      <w:r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</w:t>
      </w:r>
      <w:r w:rsidRPr="00A65A9F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patří k</w:t>
      </w:r>
      <w:r w:rsidR="00841D52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</w:t>
      </w:r>
      <w:r w:rsidRPr="00A65A9F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nejmodernějším v</w:t>
      </w:r>
      <w:r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 </w:t>
      </w:r>
      <w:r w:rsidRPr="00A65A9F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Evropě</w:t>
      </w:r>
    </w:p>
    <w:p w14:paraId="3AE04912" w14:textId="77777777" w:rsidR="00A65A9F" w:rsidRDefault="00A65A9F">
      <w:pPr>
        <w:jc w:val="both"/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62DE370" w14:textId="566E1ADD" w:rsidR="00F67F7B" w:rsidRDefault="00F917E0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</w:pPr>
      <w:r w:rsidRPr="001C39B2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3B78AE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, </w:t>
      </w:r>
      <w:r w:rsidR="006A3A9C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8</w:t>
      </w:r>
      <w:r w:rsidRPr="001C39B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. </w:t>
      </w:r>
      <w:r w:rsidR="006A3A9C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února</w:t>
      </w:r>
      <w:r w:rsidRPr="001C39B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202</w:t>
      </w:r>
      <w:r w:rsidR="009505BB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4</w:t>
      </w:r>
      <w:r w:rsidRPr="001C39B2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="00322F61" w:rsidRPr="00322F61">
        <w:rPr>
          <w:rStyle w:val="normaltextrun"/>
          <w:rFonts w:ascii="Arial" w:eastAsia="Arial" w:hAnsi="Arial" w:cs="Arial"/>
          <w:sz w:val="20"/>
          <w:szCs w:val="20"/>
          <w:lang w:val="cs-CZ"/>
        </w:rPr>
        <w:t>–</w:t>
      </w:r>
      <w:r w:rsidRPr="001C39B2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="00AA0425" w:rsidRPr="00D6467E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I v Česku umíme </w:t>
      </w:r>
      <w:r w:rsidR="002F53C0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stavět</w:t>
      </w:r>
      <w:r w:rsidR="00AA0425" w:rsidRPr="00D6467E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nadčasov</w:t>
      </w:r>
      <w:r w:rsidR="002F53C0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á</w:t>
      </w:r>
      <w:r w:rsidR="00AA0425" w:rsidRPr="00D6467E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pracoviště maximálně přizpůsoben</w:t>
      </w:r>
      <w:r w:rsidR="002F53C0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á</w:t>
      </w:r>
      <w:r w:rsidR="00AA0425" w:rsidRPr="00D6467E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potřebám zaměstnancům</w:t>
      </w:r>
      <w:r w:rsidR="000E064D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, energeticky efektivní, udržitelná a k tomu ještě architektonicky </w:t>
      </w:r>
      <w:r w:rsidR="001F0392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zajímavá</w:t>
      </w:r>
      <w:r w:rsidR="00AA0425" w:rsidRPr="00D6467E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. Důkazem je králov</w:t>
      </w:r>
      <w:r w:rsidR="00570083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é</w:t>
      </w:r>
      <w:r w:rsidR="00AA0425" w:rsidRPr="00D6467E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hradecká pobočka ČSOB s kapacitou 1050 pracovních míst, která </w:t>
      </w:r>
      <w:r w:rsidR="00A65A9F" w:rsidRPr="00A65A9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patří k nejmodernějším svého druhu v</w:t>
      </w:r>
      <w:r w:rsidR="00AA042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 </w:t>
      </w:r>
      <w:r w:rsidR="00A65A9F" w:rsidRPr="00A65A9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Evropě</w:t>
      </w:r>
      <w:r w:rsidR="00AA042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.</w:t>
      </w:r>
      <w:r w:rsidR="00A65A9F" w:rsidRPr="00A65A9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2F53C0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Budova získala</w:t>
      </w:r>
      <w:r w:rsidR="00A65A9F" w:rsidRPr="00A65A9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certifikát LEED Platinum</w:t>
      </w:r>
      <w:r w:rsidR="002F53C0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, což znamená, že </w:t>
      </w:r>
      <w:r w:rsidR="00A65A9F" w:rsidRPr="00A65A9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splňuje ty nejpřísnější ekologické standardy a</w:t>
      </w:r>
      <w:r w:rsidR="002F53C0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je ohleduplná </w:t>
      </w:r>
      <w:r w:rsidR="00A65A9F" w:rsidRPr="00A65A9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k životnímu prostředí. K dosažení této úrovně výrazně přispěla společnost </w:t>
      </w:r>
      <w:hyperlink r:id="rId11" w:history="1">
        <w:r w:rsidR="00A65A9F" w:rsidRPr="00A2041A">
          <w:rPr>
            <w:rStyle w:val="Hypertextovodkaz"/>
            <w:rFonts w:ascii="Arial" w:eastAsia="Calibri" w:hAnsi="Arial" w:cs="Arial"/>
            <w:b/>
            <w:bCs/>
            <w:kern w:val="2"/>
            <w:sz w:val="20"/>
            <w:szCs w:val="20"/>
            <w:lang w:val="cs-CZ" w:eastAsia="en-US"/>
            <w14:ligatures w14:val="standardContextual"/>
          </w:rPr>
          <w:t>Schneider Electric</w:t>
        </w:r>
      </w:hyperlink>
      <w:r w:rsidR="00A65A9F" w:rsidRPr="00A65A9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, která budovu vybavi</w:t>
      </w:r>
      <w:r w:rsidR="007B1C7B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la</w:t>
      </w:r>
      <w:r w:rsidR="00A65A9F" w:rsidRPr="00A65A9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moderními technologiemi </w:t>
      </w:r>
      <w:r w:rsidR="007B1C7B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pro</w:t>
      </w:r>
      <w:r w:rsidR="00A65A9F" w:rsidRPr="00A65A9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hospodaření s energiemi.</w:t>
      </w:r>
    </w:p>
    <w:p w14:paraId="51210F0C" w14:textId="77777777" w:rsidR="0016277C" w:rsidRPr="001C39B2" w:rsidRDefault="0016277C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3140E4AB" w14:textId="4292F5BC" w:rsidR="00A65A9F" w:rsidRDefault="00A65A9F" w:rsidP="00A65A9F">
      <w:pPr>
        <w:jc w:val="both"/>
        <w:rPr>
          <w:rFonts w:ascii="Arial" w:hAnsi="Arial" w:cs="Arial"/>
          <w:sz w:val="20"/>
          <w:szCs w:val="20"/>
          <w:lang w:val="cs-CZ"/>
        </w:rPr>
      </w:pPr>
      <w:r w:rsidRPr="00A65A9F">
        <w:rPr>
          <w:rFonts w:ascii="Arial" w:hAnsi="Arial" w:cs="Arial"/>
          <w:sz w:val="20"/>
          <w:szCs w:val="20"/>
          <w:lang w:val="cs-CZ"/>
        </w:rPr>
        <w:t xml:space="preserve">Investor si přál budovu dynamickou, lehkou a čistou, zároveň však stabilní a soudržnou. A podařilo se. Útočiště v ní našlo celkem asi 1000 zaměstnanců ČSOB, kteří do té doby byli rozmístěni do čtyř různých pracovišť. </w:t>
      </w:r>
      <w:r w:rsidR="00EA2A2E">
        <w:rPr>
          <w:rFonts w:ascii="Arial" w:hAnsi="Arial" w:cs="Arial"/>
          <w:sz w:val="20"/>
          <w:szCs w:val="20"/>
          <w:lang w:val="cs-CZ"/>
        </w:rPr>
        <w:t>Při výstavbě nebylo prioritou reagovat na současné trendy, b</w:t>
      </w:r>
      <w:r w:rsidRPr="00D6467E">
        <w:rPr>
          <w:rFonts w:ascii="Arial" w:hAnsi="Arial" w:cs="Arial"/>
          <w:sz w:val="20"/>
          <w:szCs w:val="20"/>
          <w:lang w:val="cs-CZ"/>
        </w:rPr>
        <w:t xml:space="preserve">udova byla koncipována tak, aby efektivně sloužila </w:t>
      </w:r>
      <w:r w:rsidR="00EA2A2E">
        <w:rPr>
          <w:rFonts w:ascii="Arial" w:hAnsi="Arial" w:cs="Arial"/>
          <w:sz w:val="20"/>
          <w:szCs w:val="20"/>
          <w:lang w:val="cs-CZ"/>
        </w:rPr>
        <w:t>několik desetiletí</w:t>
      </w:r>
      <w:r w:rsidRPr="00D6467E">
        <w:rPr>
          <w:rFonts w:ascii="Arial" w:hAnsi="Arial" w:cs="Arial"/>
          <w:sz w:val="20"/>
          <w:szCs w:val="20"/>
          <w:lang w:val="cs-CZ"/>
        </w:rPr>
        <w:t xml:space="preserve"> bez nutnosti dalších stavebních úprav</w:t>
      </w:r>
      <w:r w:rsidR="00E0326D">
        <w:rPr>
          <w:rFonts w:ascii="Arial" w:hAnsi="Arial" w:cs="Arial"/>
          <w:sz w:val="20"/>
          <w:szCs w:val="20"/>
          <w:lang w:val="cs-CZ"/>
        </w:rPr>
        <w:t>.</w:t>
      </w:r>
      <w:r w:rsidRPr="00A65A9F">
        <w:rPr>
          <w:rFonts w:ascii="Arial" w:hAnsi="Arial" w:cs="Arial"/>
          <w:sz w:val="20"/>
          <w:szCs w:val="20"/>
          <w:lang w:val="cs-CZ"/>
        </w:rPr>
        <w:t xml:space="preserve"> </w:t>
      </w:r>
      <w:r w:rsidR="00EA2A2E" w:rsidRPr="00EA2A2E">
        <w:rPr>
          <w:rFonts w:ascii="Arial" w:hAnsi="Arial" w:cs="Arial"/>
          <w:sz w:val="20"/>
          <w:szCs w:val="20"/>
          <w:lang w:val="cs-CZ"/>
        </w:rPr>
        <w:t xml:space="preserve">Dům byl navržen s ohledem na potřeby </w:t>
      </w:r>
      <w:r w:rsidR="00EA2A2E">
        <w:rPr>
          <w:rFonts w:ascii="Arial" w:hAnsi="Arial" w:cs="Arial"/>
          <w:sz w:val="20"/>
          <w:szCs w:val="20"/>
          <w:lang w:val="cs-CZ"/>
        </w:rPr>
        <w:t xml:space="preserve">místních </w:t>
      </w:r>
      <w:r w:rsidR="00EA2A2E" w:rsidRPr="00EA2A2E">
        <w:rPr>
          <w:rFonts w:ascii="Arial" w:hAnsi="Arial" w:cs="Arial"/>
          <w:sz w:val="20"/>
          <w:szCs w:val="20"/>
          <w:lang w:val="cs-CZ"/>
        </w:rPr>
        <w:t>obyvatel a harmonicky ladí s celkovou architekturou města.</w:t>
      </w:r>
    </w:p>
    <w:p w14:paraId="267C7B13" w14:textId="77777777" w:rsidR="006F1795" w:rsidRDefault="006F1795" w:rsidP="00A65A9F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180E7BA" w14:textId="279DD774" w:rsidR="006F1795" w:rsidRPr="00E0326D" w:rsidRDefault="006F1795" w:rsidP="00A65A9F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  <w:r w:rsidRPr="00A65A9F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V hlavní roli EcoStruxure Building od Schneider Electric</w:t>
      </w:r>
    </w:p>
    <w:p w14:paraId="7E3AD306" w14:textId="3673200D" w:rsidR="006F1795" w:rsidRPr="00A65A9F" w:rsidRDefault="00A65A9F" w:rsidP="006F1795">
      <w:pPr>
        <w:jc w:val="both"/>
        <w:rPr>
          <w:rFonts w:ascii="Arial" w:hAnsi="Arial" w:cs="Arial"/>
          <w:sz w:val="20"/>
          <w:szCs w:val="20"/>
          <w:lang w:val="cs-CZ"/>
        </w:rPr>
      </w:pPr>
      <w:r w:rsidRPr="00A65A9F">
        <w:rPr>
          <w:rFonts w:ascii="Arial" w:hAnsi="Arial" w:cs="Arial"/>
          <w:sz w:val="20"/>
          <w:szCs w:val="20"/>
          <w:lang w:val="cs-CZ"/>
        </w:rPr>
        <w:t xml:space="preserve">HHQ, jak se nové </w:t>
      </w:r>
      <w:hyperlink r:id="rId12" w:history="1">
        <w:r w:rsidR="005D60B9" w:rsidRPr="00F16ED1">
          <w:rPr>
            <w:rStyle w:val="Hypertextovodkaz"/>
            <w:rFonts w:ascii="Arial" w:hAnsi="Arial" w:cs="Arial"/>
            <w:sz w:val="20"/>
            <w:szCs w:val="20"/>
            <w:lang w:val="cs-CZ"/>
          </w:rPr>
          <w:t>regionální centrále ČSOB</w:t>
        </w:r>
      </w:hyperlink>
      <w:r w:rsidR="005D60B9">
        <w:rPr>
          <w:rFonts w:ascii="Arial" w:hAnsi="Arial" w:cs="Arial"/>
          <w:sz w:val="20"/>
          <w:szCs w:val="20"/>
          <w:lang w:val="cs-CZ"/>
        </w:rPr>
        <w:t xml:space="preserve"> </w:t>
      </w:r>
      <w:r w:rsidRPr="00A65A9F">
        <w:rPr>
          <w:rFonts w:ascii="Arial" w:hAnsi="Arial" w:cs="Arial"/>
          <w:sz w:val="20"/>
          <w:szCs w:val="20"/>
          <w:lang w:val="cs-CZ"/>
        </w:rPr>
        <w:t>říká, se vyznačuje svou mimořádnou energetickou efektivitou – její energetická náročnost se pohybuje kolem 70 kWh/m</w:t>
      </w:r>
      <w:r w:rsidRPr="00E0326D">
        <w:rPr>
          <w:rFonts w:ascii="Arial" w:hAnsi="Arial" w:cs="Arial"/>
          <w:sz w:val="20"/>
          <w:szCs w:val="20"/>
          <w:vertAlign w:val="superscript"/>
          <w:lang w:val="cs-CZ"/>
        </w:rPr>
        <w:t>2</w:t>
      </w:r>
      <w:r w:rsidRPr="00A65A9F">
        <w:rPr>
          <w:rFonts w:ascii="Arial" w:hAnsi="Arial" w:cs="Arial"/>
          <w:sz w:val="20"/>
          <w:szCs w:val="20"/>
          <w:lang w:val="cs-CZ"/>
        </w:rPr>
        <w:t xml:space="preserve"> za rok. </w:t>
      </w:r>
      <w:r w:rsidR="006F1795">
        <w:rPr>
          <w:rFonts w:ascii="Arial" w:hAnsi="Arial" w:cs="Arial"/>
          <w:sz w:val="20"/>
          <w:szCs w:val="20"/>
          <w:lang w:val="cs-CZ"/>
        </w:rPr>
        <w:t>Na té nesou velkou zásluhu také technologie od společnosti Schneider Electric</w:t>
      </w:r>
      <w:r w:rsidR="00E66281">
        <w:rPr>
          <w:rFonts w:ascii="Arial" w:hAnsi="Arial" w:cs="Arial"/>
          <w:sz w:val="20"/>
          <w:szCs w:val="20"/>
          <w:lang w:val="cs-CZ"/>
        </w:rPr>
        <w:t>.</w:t>
      </w:r>
      <w:r w:rsidR="006F1795">
        <w:rPr>
          <w:rFonts w:ascii="Arial" w:hAnsi="Arial" w:cs="Arial"/>
          <w:sz w:val="20"/>
          <w:szCs w:val="20"/>
          <w:lang w:val="cs-CZ"/>
        </w:rPr>
        <w:t xml:space="preserve"> </w:t>
      </w:r>
      <w:r w:rsidR="00E66281">
        <w:rPr>
          <w:rFonts w:ascii="Arial" w:hAnsi="Arial" w:cs="Arial"/>
          <w:sz w:val="20"/>
          <w:szCs w:val="20"/>
          <w:lang w:val="cs-CZ"/>
        </w:rPr>
        <w:t>E</w:t>
      </w:r>
      <w:r w:rsidR="006F1795" w:rsidRPr="00A65A9F">
        <w:rPr>
          <w:rFonts w:ascii="Arial" w:hAnsi="Arial" w:cs="Arial"/>
          <w:sz w:val="20"/>
          <w:szCs w:val="20"/>
          <w:lang w:val="cs-CZ"/>
        </w:rPr>
        <w:t xml:space="preserve">nergetickou optimalizaci budovy má na starosti </w:t>
      </w:r>
      <w:r w:rsidR="00E66281">
        <w:rPr>
          <w:rFonts w:ascii="Arial" w:hAnsi="Arial" w:cs="Arial"/>
          <w:sz w:val="20"/>
          <w:szCs w:val="20"/>
          <w:lang w:val="cs-CZ"/>
        </w:rPr>
        <w:t xml:space="preserve">jejich </w:t>
      </w:r>
      <w:r w:rsidR="006F1795" w:rsidRPr="00A65A9F">
        <w:rPr>
          <w:rFonts w:ascii="Arial" w:hAnsi="Arial" w:cs="Arial"/>
          <w:sz w:val="20"/>
          <w:szCs w:val="20"/>
          <w:lang w:val="cs-CZ"/>
        </w:rPr>
        <w:t xml:space="preserve">řešení </w:t>
      </w:r>
      <w:hyperlink r:id="rId13" w:history="1">
        <w:r w:rsidR="006F1795" w:rsidRPr="005E73AC">
          <w:rPr>
            <w:rStyle w:val="Hypertextovodkaz"/>
            <w:rFonts w:ascii="Arial" w:hAnsi="Arial" w:cs="Arial"/>
            <w:sz w:val="20"/>
            <w:szCs w:val="20"/>
            <w:lang w:val="cs-CZ"/>
          </w:rPr>
          <w:t>EcoStruxure Building</w:t>
        </w:r>
      </w:hyperlink>
      <w:r w:rsidR="00E66281">
        <w:rPr>
          <w:rFonts w:ascii="Arial" w:hAnsi="Arial" w:cs="Arial"/>
          <w:sz w:val="20"/>
          <w:szCs w:val="20"/>
          <w:lang w:val="cs-CZ"/>
        </w:rPr>
        <w:t>, využívající</w:t>
      </w:r>
      <w:r w:rsidR="006F1795" w:rsidRPr="00A65A9F">
        <w:rPr>
          <w:rFonts w:ascii="Arial" w:hAnsi="Arial" w:cs="Arial"/>
          <w:sz w:val="20"/>
          <w:szCs w:val="20"/>
          <w:lang w:val="cs-CZ"/>
        </w:rPr>
        <w:t xml:space="preserve"> tzv. </w:t>
      </w:r>
      <w:r w:rsidR="00A2041A">
        <w:rPr>
          <w:rFonts w:ascii="Arial" w:hAnsi="Arial" w:cs="Arial"/>
          <w:sz w:val="20"/>
          <w:szCs w:val="20"/>
          <w:lang w:val="cs-CZ"/>
        </w:rPr>
        <w:t>i</w:t>
      </w:r>
      <w:r w:rsidR="006F1795" w:rsidRPr="00A65A9F">
        <w:rPr>
          <w:rFonts w:ascii="Arial" w:hAnsi="Arial" w:cs="Arial"/>
          <w:sz w:val="20"/>
          <w:szCs w:val="20"/>
          <w:lang w:val="cs-CZ"/>
        </w:rPr>
        <w:t>nterne</w:t>
      </w:r>
      <w:r w:rsidR="00D36E84">
        <w:rPr>
          <w:rFonts w:ascii="Arial" w:hAnsi="Arial" w:cs="Arial"/>
          <w:sz w:val="20"/>
          <w:szCs w:val="20"/>
          <w:lang w:val="cs-CZ"/>
        </w:rPr>
        <w:t>t</w:t>
      </w:r>
      <w:r w:rsidR="006F1795" w:rsidRPr="00A65A9F">
        <w:rPr>
          <w:rFonts w:ascii="Arial" w:hAnsi="Arial" w:cs="Arial"/>
          <w:sz w:val="20"/>
          <w:szCs w:val="20"/>
          <w:lang w:val="cs-CZ"/>
        </w:rPr>
        <w:t xml:space="preserve"> věcí, </w:t>
      </w:r>
      <w:r w:rsidR="00E66281">
        <w:rPr>
          <w:rFonts w:ascii="Arial" w:hAnsi="Arial" w:cs="Arial"/>
          <w:sz w:val="20"/>
          <w:szCs w:val="20"/>
          <w:lang w:val="cs-CZ"/>
        </w:rPr>
        <w:t>který</w:t>
      </w:r>
      <w:r w:rsidR="006F1795" w:rsidRPr="00A65A9F">
        <w:rPr>
          <w:rFonts w:ascii="Arial" w:hAnsi="Arial" w:cs="Arial"/>
          <w:sz w:val="20"/>
          <w:szCs w:val="20"/>
          <w:lang w:val="cs-CZ"/>
        </w:rPr>
        <w:t xml:space="preserve"> </w:t>
      </w:r>
      <w:r w:rsidR="00E66281" w:rsidRPr="00E66281">
        <w:rPr>
          <w:rFonts w:ascii="Arial" w:hAnsi="Arial" w:cs="Arial"/>
          <w:sz w:val="20"/>
          <w:szCs w:val="20"/>
          <w:lang w:val="cs-CZ"/>
        </w:rPr>
        <w:t>bezpečně propojuje hardware, software a služby prostřednictvím páteřní ethernetové IP sítě</w:t>
      </w:r>
      <w:r w:rsidR="00E66281">
        <w:rPr>
          <w:rFonts w:ascii="Arial" w:hAnsi="Arial" w:cs="Arial"/>
          <w:sz w:val="20"/>
          <w:szCs w:val="20"/>
          <w:lang w:val="cs-CZ"/>
        </w:rPr>
        <w:t>,</w:t>
      </w:r>
      <w:r w:rsidR="00E66281" w:rsidRPr="00E66281">
        <w:rPr>
          <w:rFonts w:ascii="Arial" w:hAnsi="Arial" w:cs="Arial"/>
          <w:sz w:val="20"/>
          <w:szCs w:val="20"/>
          <w:lang w:val="cs-CZ"/>
        </w:rPr>
        <w:t xml:space="preserve"> </w:t>
      </w:r>
      <w:r w:rsidR="00E66281">
        <w:rPr>
          <w:rFonts w:ascii="Arial" w:hAnsi="Arial" w:cs="Arial"/>
          <w:sz w:val="20"/>
          <w:szCs w:val="20"/>
          <w:lang w:val="cs-CZ"/>
        </w:rPr>
        <w:t>monitoruje a následně řídí energetické toky v budově.</w:t>
      </w:r>
      <w:r w:rsidR="006F1795" w:rsidRPr="00A65A9F">
        <w:rPr>
          <w:rFonts w:ascii="Arial" w:hAnsi="Arial" w:cs="Arial"/>
          <w:sz w:val="20"/>
          <w:szCs w:val="20"/>
          <w:lang w:val="cs-CZ"/>
        </w:rPr>
        <w:t xml:space="preserve"> </w:t>
      </w:r>
      <w:r w:rsidR="006F1795" w:rsidRPr="00A65A9F">
        <w:rPr>
          <w:rFonts w:ascii="Arial" w:hAnsi="Arial" w:cs="Arial"/>
          <w:i/>
          <w:iCs/>
          <w:sz w:val="20"/>
          <w:szCs w:val="20"/>
          <w:lang w:val="cs-CZ"/>
        </w:rPr>
        <w:t>„EcoStruxure Building si můžeme představit jako takový mozek celé budovy, řídící centrum, které má přehled o tom, v jaké místnosti je kolik stupňů, kde je potřeba přitopit, kde lze ztlumit míru osvětlení, protože dovnitř proudí dostatek denního světla. Odhalí také veškeré energetické úniky – jestli se někd</w:t>
      </w:r>
      <w:r w:rsidR="00D36E84">
        <w:rPr>
          <w:rFonts w:ascii="Arial" w:hAnsi="Arial" w:cs="Arial"/>
          <w:i/>
          <w:iCs/>
          <w:sz w:val="20"/>
          <w:szCs w:val="20"/>
          <w:lang w:val="cs-CZ"/>
        </w:rPr>
        <w:t>e</w:t>
      </w:r>
      <w:r w:rsidR="006F1795" w:rsidRPr="00A65A9F">
        <w:rPr>
          <w:rFonts w:ascii="Arial" w:hAnsi="Arial" w:cs="Arial"/>
          <w:i/>
          <w:iCs/>
          <w:sz w:val="20"/>
          <w:szCs w:val="20"/>
          <w:lang w:val="cs-CZ"/>
        </w:rPr>
        <w:t xml:space="preserve"> nehospodárně nevětrá otevřenými okny a tak podobně,“</w:t>
      </w:r>
      <w:r w:rsidR="006F1795" w:rsidRPr="00A65A9F">
        <w:rPr>
          <w:rFonts w:ascii="Arial" w:hAnsi="Arial" w:cs="Arial"/>
          <w:sz w:val="20"/>
          <w:szCs w:val="20"/>
          <w:lang w:val="cs-CZ"/>
        </w:rPr>
        <w:t xml:space="preserve"> přibližuje Jakub Jiříček, specialista na energetický management budov ze Schneider Electric. </w:t>
      </w:r>
    </w:p>
    <w:p w14:paraId="06075B71" w14:textId="77777777" w:rsidR="006F1795" w:rsidRDefault="006F1795" w:rsidP="00A65A9F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31A877C" w14:textId="4144786C" w:rsidR="006F1795" w:rsidRPr="00AA0425" w:rsidRDefault="006F1795" w:rsidP="006F1795">
      <w:pPr>
        <w:jc w:val="both"/>
        <w:rPr>
          <w:rFonts w:ascii="Arial" w:hAnsi="Arial" w:cs="Arial"/>
          <w:sz w:val="20"/>
          <w:szCs w:val="20"/>
          <w:lang w:val="cs-CZ"/>
        </w:rPr>
      </w:pPr>
      <w:r w:rsidRPr="00A65A9F">
        <w:rPr>
          <w:rFonts w:ascii="Arial" w:hAnsi="Arial" w:cs="Arial"/>
          <w:sz w:val="20"/>
          <w:szCs w:val="20"/>
          <w:lang w:val="cs-CZ"/>
        </w:rPr>
        <w:t xml:space="preserve">Základem všeho je měření. V budově je instalováno 201 regulátorů teploty, 122 elektroměrů, 60 vodoměrů, 44 měřičů tepla/chladu a </w:t>
      </w:r>
      <w:r>
        <w:rPr>
          <w:rFonts w:ascii="Arial" w:hAnsi="Arial" w:cs="Arial"/>
          <w:sz w:val="20"/>
          <w:szCs w:val="20"/>
          <w:lang w:val="cs-CZ"/>
        </w:rPr>
        <w:t>řada dalších</w:t>
      </w:r>
      <w:r w:rsidRPr="00A65A9F">
        <w:rPr>
          <w:rFonts w:ascii="Arial" w:hAnsi="Arial" w:cs="Arial"/>
          <w:sz w:val="20"/>
          <w:szCs w:val="20"/>
          <w:lang w:val="cs-CZ"/>
        </w:rPr>
        <w:t xml:space="preserve"> klíčov</w:t>
      </w:r>
      <w:r>
        <w:rPr>
          <w:rFonts w:ascii="Arial" w:hAnsi="Arial" w:cs="Arial"/>
          <w:sz w:val="20"/>
          <w:szCs w:val="20"/>
          <w:lang w:val="cs-CZ"/>
        </w:rPr>
        <w:t>ých</w:t>
      </w:r>
      <w:r w:rsidRPr="00A65A9F">
        <w:rPr>
          <w:rFonts w:ascii="Arial" w:hAnsi="Arial" w:cs="Arial"/>
          <w:sz w:val="20"/>
          <w:szCs w:val="20"/>
          <w:lang w:val="cs-CZ"/>
        </w:rPr>
        <w:t xml:space="preserve"> komponent</w:t>
      </w:r>
      <w:r>
        <w:rPr>
          <w:rFonts w:ascii="Arial" w:hAnsi="Arial" w:cs="Arial"/>
          <w:sz w:val="20"/>
          <w:szCs w:val="20"/>
          <w:lang w:val="cs-CZ"/>
        </w:rPr>
        <w:t>ů</w:t>
      </w:r>
      <w:r w:rsidRPr="00A65A9F">
        <w:rPr>
          <w:rFonts w:ascii="Arial" w:hAnsi="Arial" w:cs="Arial"/>
          <w:sz w:val="20"/>
          <w:szCs w:val="20"/>
          <w:lang w:val="cs-CZ"/>
        </w:rPr>
        <w:t>, které sbírají data o aktuálních energetických spotřebách,</w:t>
      </w:r>
      <w:r w:rsidR="00A2041A">
        <w:rPr>
          <w:rFonts w:ascii="Arial" w:hAnsi="Arial" w:cs="Arial"/>
          <w:sz w:val="20"/>
          <w:szCs w:val="20"/>
          <w:lang w:val="cs-CZ"/>
        </w:rPr>
        <w:t xml:space="preserve"> jež</w:t>
      </w:r>
      <w:r w:rsidRPr="00A65A9F">
        <w:rPr>
          <w:rFonts w:ascii="Arial" w:hAnsi="Arial" w:cs="Arial"/>
          <w:sz w:val="20"/>
          <w:szCs w:val="20"/>
          <w:lang w:val="cs-CZ"/>
        </w:rPr>
        <w:t xml:space="preserve"> jsou následně vyhodnocovány. Světelnou a tepelnou pohodu navozuje instalovaný </w:t>
      </w:r>
      <w:hyperlink r:id="rId14" w:history="1">
        <w:r w:rsidRPr="005E73AC">
          <w:rPr>
            <w:rStyle w:val="Hypertextovodkaz"/>
            <w:rFonts w:ascii="Arial" w:hAnsi="Arial" w:cs="Arial"/>
            <w:sz w:val="20"/>
            <w:szCs w:val="20"/>
            <w:lang w:val="cs-CZ"/>
          </w:rPr>
          <w:t>systém KNX</w:t>
        </w:r>
      </w:hyperlink>
      <w:r w:rsidRPr="00A65A9F">
        <w:rPr>
          <w:rFonts w:ascii="Arial" w:hAnsi="Arial" w:cs="Arial"/>
          <w:sz w:val="20"/>
          <w:szCs w:val="20"/>
          <w:lang w:val="cs-CZ"/>
        </w:rPr>
        <w:t>, který řídí více než 1 500 svítidel. Pro správný chod využívá více než 300 detektorů pohybu a také informace z meteostanice na střeše budovy. Stavy ovládaných technologií a zařízení jsou zobrazeny v souhrnné vizualizaci ve velínu, ze které je možné vše přehledně ovládat.</w:t>
      </w:r>
      <w:r w:rsidR="0014065B">
        <w:rPr>
          <w:rFonts w:ascii="Arial" w:hAnsi="Arial" w:cs="Arial"/>
          <w:sz w:val="20"/>
          <w:szCs w:val="20"/>
          <w:lang w:val="cs-CZ"/>
        </w:rPr>
        <w:t xml:space="preserve"> </w:t>
      </w:r>
      <w:r w:rsidR="0014065B" w:rsidRPr="00F16ED1">
        <w:rPr>
          <w:rFonts w:ascii="Arial" w:hAnsi="Arial" w:cs="Arial"/>
          <w:sz w:val="20"/>
          <w:szCs w:val="20"/>
          <w:lang w:val="cs-CZ"/>
        </w:rPr>
        <w:t>Díky technologiím Schne</w:t>
      </w:r>
      <w:r w:rsidR="000E064D" w:rsidRPr="00F16ED1">
        <w:rPr>
          <w:rFonts w:ascii="Arial" w:hAnsi="Arial" w:cs="Arial"/>
          <w:sz w:val="20"/>
          <w:szCs w:val="20"/>
          <w:lang w:val="cs-CZ"/>
        </w:rPr>
        <w:t>i</w:t>
      </w:r>
      <w:r w:rsidR="0014065B" w:rsidRPr="00F16ED1">
        <w:rPr>
          <w:rFonts w:ascii="Arial" w:hAnsi="Arial" w:cs="Arial"/>
          <w:sz w:val="20"/>
          <w:szCs w:val="20"/>
          <w:lang w:val="cs-CZ"/>
        </w:rPr>
        <w:t xml:space="preserve">der Electric </w:t>
      </w:r>
      <w:r w:rsidR="00F16ED1">
        <w:rPr>
          <w:rFonts w:ascii="Arial" w:hAnsi="Arial" w:cs="Arial"/>
          <w:sz w:val="20"/>
          <w:szCs w:val="20"/>
          <w:lang w:val="cs-CZ"/>
        </w:rPr>
        <w:t>je tak</w:t>
      </w:r>
      <w:r w:rsidR="0014065B" w:rsidRPr="00F16ED1">
        <w:rPr>
          <w:rFonts w:ascii="Arial" w:hAnsi="Arial" w:cs="Arial"/>
          <w:sz w:val="20"/>
          <w:szCs w:val="20"/>
          <w:lang w:val="cs-CZ"/>
        </w:rPr>
        <w:t xml:space="preserve"> spotřeb</w:t>
      </w:r>
      <w:r w:rsidR="00F16ED1">
        <w:rPr>
          <w:rFonts w:ascii="Arial" w:hAnsi="Arial" w:cs="Arial"/>
          <w:sz w:val="20"/>
          <w:szCs w:val="20"/>
          <w:lang w:val="cs-CZ"/>
        </w:rPr>
        <w:t>a</w:t>
      </w:r>
      <w:r w:rsidR="0014065B" w:rsidRPr="00F16ED1">
        <w:rPr>
          <w:rFonts w:ascii="Arial" w:hAnsi="Arial" w:cs="Arial"/>
          <w:sz w:val="20"/>
          <w:szCs w:val="20"/>
          <w:lang w:val="cs-CZ"/>
        </w:rPr>
        <w:t xml:space="preserve"> všech energií v budově pod kontrolou a </w:t>
      </w:r>
      <w:r w:rsidR="00F16ED1">
        <w:rPr>
          <w:rFonts w:ascii="Arial" w:hAnsi="Arial" w:cs="Arial"/>
          <w:sz w:val="20"/>
          <w:szCs w:val="20"/>
          <w:lang w:val="cs-CZ"/>
        </w:rPr>
        <w:t>lze</w:t>
      </w:r>
      <w:r w:rsidRPr="00F16ED1">
        <w:rPr>
          <w:rFonts w:ascii="Arial" w:hAnsi="Arial" w:cs="Arial"/>
          <w:sz w:val="20"/>
          <w:szCs w:val="20"/>
          <w:lang w:val="cs-CZ"/>
        </w:rPr>
        <w:t xml:space="preserve"> </w:t>
      </w:r>
      <w:r w:rsidR="0014065B" w:rsidRPr="00F16ED1">
        <w:rPr>
          <w:rFonts w:ascii="Arial" w:hAnsi="Arial" w:cs="Arial"/>
          <w:sz w:val="20"/>
          <w:szCs w:val="20"/>
          <w:lang w:val="cs-CZ"/>
        </w:rPr>
        <w:t>ji efektivně sledovat a řídit</w:t>
      </w:r>
      <w:r w:rsidR="00F16ED1">
        <w:rPr>
          <w:rFonts w:ascii="Arial" w:hAnsi="Arial" w:cs="Arial"/>
          <w:sz w:val="20"/>
          <w:szCs w:val="20"/>
          <w:lang w:val="cs-CZ"/>
        </w:rPr>
        <w:t>.</w:t>
      </w:r>
    </w:p>
    <w:p w14:paraId="11F48894" w14:textId="77777777" w:rsidR="006F1795" w:rsidRDefault="006F1795" w:rsidP="008F36EF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23990BE4" w14:textId="3C8C2DB7" w:rsidR="006F1795" w:rsidRPr="00A65A9F" w:rsidRDefault="006F1795" w:rsidP="008F36EF">
      <w:pPr>
        <w:jc w:val="both"/>
        <w:rPr>
          <w:rFonts w:ascii="Arial" w:hAnsi="Arial" w:cs="Arial"/>
          <w:sz w:val="20"/>
          <w:szCs w:val="20"/>
          <w:lang w:val="cs-CZ"/>
        </w:rPr>
      </w:pPr>
      <w:r w:rsidRPr="00A65A9F">
        <w:rPr>
          <w:rFonts w:ascii="Arial" w:hAnsi="Arial" w:cs="Arial"/>
          <w:sz w:val="20"/>
          <w:szCs w:val="20"/>
          <w:lang w:val="cs-CZ"/>
        </w:rPr>
        <w:t xml:space="preserve">Administrativní budova není kromě elektrické energie napojena na žádné jiné energetické médium, jako je třeba plyn. Vytápění a chlazení tamějších prostor je zajištěno </w:t>
      </w:r>
      <w:r w:rsidRPr="008F36EF">
        <w:rPr>
          <w:rFonts w:ascii="Arial" w:hAnsi="Arial" w:cs="Arial"/>
          <w:sz w:val="20"/>
          <w:szCs w:val="20"/>
          <w:lang w:val="cs-CZ"/>
        </w:rPr>
        <w:t xml:space="preserve">pomocí </w:t>
      </w:r>
      <w:r w:rsidR="002346E6" w:rsidRPr="008F36EF">
        <w:rPr>
          <w:rFonts w:ascii="Arial" w:hAnsi="Arial" w:cs="Arial"/>
          <w:sz w:val="20"/>
          <w:szCs w:val="20"/>
          <w:lang w:val="cs-CZ"/>
        </w:rPr>
        <w:t>chladicích jednotek v</w:t>
      </w:r>
      <w:r w:rsidR="008F36EF">
        <w:rPr>
          <w:rFonts w:ascii="Arial" w:hAnsi="Arial" w:cs="Arial"/>
          <w:sz w:val="20"/>
          <w:szCs w:val="20"/>
          <w:lang w:val="cs-CZ"/>
        </w:rPr>
        <w:t> </w:t>
      </w:r>
      <w:r w:rsidR="002346E6" w:rsidRPr="008F36EF">
        <w:rPr>
          <w:rFonts w:ascii="Arial" w:hAnsi="Arial" w:cs="Arial"/>
          <w:sz w:val="20"/>
          <w:szCs w:val="20"/>
          <w:lang w:val="cs-CZ"/>
        </w:rPr>
        <w:t>režimu</w:t>
      </w:r>
      <w:r w:rsidR="008F36EF">
        <w:rPr>
          <w:rFonts w:ascii="Arial" w:hAnsi="Arial" w:cs="Arial"/>
          <w:sz w:val="20"/>
          <w:szCs w:val="20"/>
          <w:lang w:val="cs-CZ"/>
        </w:rPr>
        <w:t xml:space="preserve"> </w:t>
      </w:r>
      <w:r w:rsidR="002346E6" w:rsidRPr="008F36EF">
        <w:rPr>
          <w:rFonts w:ascii="Arial" w:hAnsi="Arial" w:cs="Arial"/>
          <w:sz w:val="20"/>
          <w:szCs w:val="20"/>
          <w:lang w:val="cs-CZ"/>
        </w:rPr>
        <w:t>tepelného čerpadla</w:t>
      </w:r>
      <w:r w:rsidRPr="008F36EF">
        <w:rPr>
          <w:rFonts w:ascii="Arial" w:hAnsi="Arial" w:cs="Arial"/>
          <w:sz w:val="20"/>
          <w:szCs w:val="20"/>
          <w:lang w:val="cs-CZ"/>
        </w:rPr>
        <w:t xml:space="preserve"> se 107 geotermickými vrty sahajícími do hloubky až 200 metrů, které jsou</w:t>
      </w:r>
      <w:r w:rsidRPr="00A65A9F">
        <w:rPr>
          <w:rFonts w:ascii="Arial" w:hAnsi="Arial" w:cs="Arial"/>
          <w:sz w:val="20"/>
          <w:szCs w:val="20"/>
          <w:lang w:val="cs-CZ"/>
        </w:rPr>
        <w:t xml:space="preserve"> rozmístěny v pravidelných polích pod celým půdorysem.</w:t>
      </w:r>
    </w:p>
    <w:p w14:paraId="37F81CE8" w14:textId="77777777" w:rsidR="006F1795" w:rsidRDefault="006F1795" w:rsidP="00A65A9F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22E5341C" w14:textId="79EDDB76" w:rsidR="006F1795" w:rsidRPr="001C096B" w:rsidRDefault="006F1795" w:rsidP="006F1795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  <w:r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 xml:space="preserve">Grafický beton, ale i biometrická kontrola vstupů. HHQ </w:t>
      </w:r>
      <w:r w:rsidR="009F6C7C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ukazuje</w:t>
      </w:r>
      <w:r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 xml:space="preserve"> budoucnost</w:t>
      </w:r>
      <w:r w:rsidR="009F6C7C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 xml:space="preserve"> pracovišť</w:t>
      </w:r>
    </w:p>
    <w:p w14:paraId="70E1716C" w14:textId="23BD74AD" w:rsidR="00A65A9F" w:rsidRDefault="006F1795" w:rsidP="00A65A9F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HHQ</w:t>
      </w:r>
      <w:r w:rsidR="00D36E84">
        <w:rPr>
          <w:rFonts w:ascii="Arial" w:hAnsi="Arial" w:cs="Arial"/>
          <w:sz w:val="20"/>
          <w:szCs w:val="20"/>
          <w:lang w:val="cs-CZ"/>
        </w:rPr>
        <w:t xml:space="preserve"> </w:t>
      </w:r>
      <w:r w:rsidR="00A65A9F" w:rsidRPr="00A65A9F">
        <w:rPr>
          <w:rFonts w:ascii="Arial" w:hAnsi="Arial" w:cs="Arial"/>
          <w:sz w:val="20"/>
          <w:szCs w:val="20"/>
          <w:lang w:val="cs-CZ"/>
        </w:rPr>
        <w:t xml:space="preserve">svým zaměstnancům nabízí moderní a nadčasové prostředí pro flexibilní práci. Uvnitř proto nechybí dostatek zeleně – přesněji 1087 rostlin, dále školička pro děti již od dvou let, relaxační prostory či tělocvična. Relaxovat a čerpat energii je možné také na střešní terase, která zároveň slouží k retenci dešťových vod a zlepšování mikroklimatu. </w:t>
      </w:r>
      <w:r w:rsidR="007B1C7B">
        <w:rPr>
          <w:rFonts w:ascii="Arial" w:hAnsi="Arial" w:cs="Arial"/>
          <w:sz w:val="20"/>
          <w:szCs w:val="20"/>
          <w:lang w:val="cs-CZ"/>
        </w:rPr>
        <w:t>K dispozici</w:t>
      </w:r>
      <w:r w:rsidR="007B1C7B" w:rsidRPr="00A65A9F">
        <w:rPr>
          <w:rFonts w:ascii="Arial" w:hAnsi="Arial" w:cs="Arial"/>
          <w:sz w:val="20"/>
          <w:szCs w:val="20"/>
          <w:lang w:val="cs-CZ"/>
        </w:rPr>
        <w:t xml:space="preserve"> </w:t>
      </w:r>
      <w:r w:rsidR="00A65A9F" w:rsidRPr="00A65A9F">
        <w:rPr>
          <w:rFonts w:ascii="Arial" w:hAnsi="Arial" w:cs="Arial"/>
          <w:sz w:val="20"/>
          <w:szCs w:val="20"/>
          <w:lang w:val="cs-CZ"/>
        </w:rPr>
        <w:t>je také zázemí s více než 300 parkovacími místy pro auta a motorky (včetně 10 míst pro elektromobily a dobíjecími stanicemi), se speciálním parkovištěm pro kola (včetně myčky kol) a šatnami. Součástí komplexu je i restaurace a kavárna. Zajímavostí je poměrně rozsáhlá realizace grafického betonu v prostorách budovy</w:t>
      </w:r>
      <w:r w:rsidR="0051067C">
        <w:rPr>
          <w:rFonts w:ascii="Arial" w:hAnsi="Arial" w:cs="Arial"/>
          <w:sz w:val="20"/>
          <w:szCs w:val="20"/>
          <w:lang w:val="cs-CZ"/>
        </w:rPr>
        <w:t xml:space="preserve">, který </w:t>
      </w:r>
      <w:r w:rsidR="009F6C7C">
        <w:rPr>
          <w:rFonts w:ascii="Arial" w:hAnsi="Arial" w:cs="Arial"/>
          <w:sz w:val="20"/>
          <w:szCs w:val="20"/>
          <w:lang w:val="cs-CZ"/>
        </w:rPr>
        <w:t>má znázorňovat</w:t>
      </w:r>
      <w:r w:rsidR="0051067C" w:rsidRPr="0051067C">
        <w:rPr>
          <w:rFonts w:ascii="Arial" w:hAnsi="Arial" w:cs="Arial"/>
          <w:sz w:val="20"/>
          <w:szCs w:val="20"/>
          <w:lang w:val="cs-CZ"/>
        </w:rPr>
        <w:t xml:space="preserve"> geologické složení lokality</w:t>
      </w:r>
      <w:r w:rsidR="00A65A9F" w:rsidRPr="00A65A9F">
        <w:rPr>
          <w:rFonts w:ascii="Arial" w:hAnsi="Arial" w:cs="Arial"/>
          <w:sz w:val="20"/>
          <w:szCs w:val="20"/>
          <w:lang w:val="cs-CZ"/>
        </w:rPr>
        <w:t xml:space="preserve">. Tato technologie umožňuje otisknout do betonu různé grafické motivy, obrázky, nebo </w:t>
      </w:r>
      <w:r w:rsidR="00A65A9F" w:rsidRPr="00A65A9F">
        <w:rPr>
          <w:rFonts w:ascii="Arial" w:hAnsi="Arial" w:cs="Arial"/>
          <w:sz w:val="20"/>
          <w:szCs w:val="20"/>
          <w:lang w:val="cs-CZ"/>
        </w:rPr>
        <w:lastRenderedPageBreak/>
        <w:t xml:space="preserve">dokonce detailní fotografii. Futuristický nádech prostorám dodávají biometrické systémy pro kontrolu vstupů – zaměstnanci jsou dovnitř vpuštěni na základě </w:t>
      </w:r>
      <w:r w:rsidR="00655904">
        <w:rPr>
          <w:rFonts w:ascii="Arial" w:hAnsi="Arial" w:cs="Arial"/>
          <w:sz w:val="20"/>
          <w:szCs w:val="20"/>
          <w:lang w:val="cs-CZ"/>
        </w:rPr>
        <w:t xml:space="preserve">rozpoznání </w:t>
      </w:r>
      <w:r w:rsidR="00D84919">
        <w:rPr>
          <w:rFonts w:ascii="Arial" w:hAnsi="Arial" w:cs="Arial"/>
          <w:sz w:val="20"/>
          <w:szCs w:val="20"/>
          <w:lang w:val="cs-CZ"/>
        </w:rPr>
        <w:t xml:space="preserve">otisku </w:t>
      </w:r>
      <w:r w:rsidR="0011216F">
        <w:rPr>
          <w:rFonts w:ascii="Arial" w:hAnsi="Arial" w:cs="Arial"/>
          <w:sz w:val="20"/>
          <w:szCs w:val="20"/>
          <w:lang w:val="cs-CZ"/>
        </w:rPr>
        <w:t>d</w:t>
      </w:r>
      <w:r w:rsidR="00DC56E9">
        <w:rPr>
          <w:rFonts w:ascii="Arial" w:hAnsi="Arial" w:cs="Arial"/>
          <w:sz w:val="20"/>
          <w:szCs w:val="20"/>
          <w:lang w:val="cs-CZ"/>
        </w:rPr>
        <w:t>laně</w:t>
      </w:r>
      <w:r w:rsidR="00A65A9F" w:rsidRPr="00A65A9F">
        <w:rPr>
          <w:rFonts w:ascii="Arial" w:hAnsi="Arial" w:cs="Arial"/>
          <w:sz w:val="20"/>
          <w:szCs w:val="20"/>
          <w:lang w:val="cs-CZ"/>
        </w:rPr>
        <w:t>.</w:t>
      </w:r>
    </w:p>
    <w:p w14:paraId="2D4979F3" w14:textId="7F8D37D6" w:rsidR="00A65A9F" w:rsidRDefault="00A65A9F" w:rsidP="00A65A9F">
      <w:pPr>
        <w:jc w:val="both"/>
        <w:rPr>
          <w:rFonts w:ascii="Arial" w:hAnsi="Arial" w:cs="Arial"/>
          <w:sz w:val="20"/>
          <w:szCs w:val="20"/>
          <w:lang w:val="cs-CZ"/>
        </w:rPr>
      </w:pPr>
      <w:r w:rsidRPr="00A65A9F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3E365DFA" w14:textId="4BDA1E1A" w:rsidR="007501DB" w:rsidRPr="00B315B8" w:rsidRDefault="00E0326D" w:rsidP="00A65A9F">
      <w:pPr>
        <w:jc w:val="both"/>
        <w:rPr>
          <w:rFonts w:ascii="Arial" w:hAnsi="Arial" w:cs="Arial"/>
          <w:sz w:val="20"/>
          <w:szCs w:val="20"/>
          <w:lang w:val="cs-CZ"/>
        </w:rPr>
      </w:pPr>
      <w:r w:rsidRPr="00A65A9F">
        <w:rPr>
          <w:rFonts w:ascii="Arial" w:hAnsi="Arial" w:cs="Arial"/>
          <w:sz w:val="20"/>
          <w:szCs w:val="20"/>
          <w:lang w:val="cs-CZ"/>
        </w:rPr>
        <w:t xml:space="preserve">Výstavba pětipodlažní </w:t>
      </w:r>
      <w:r>
        <w:rPr>
          <w:rFonts w:ascii="Arial" w:hAnsi="Arial" w:cs="Arial"/>
          <w:sz w:val="20"/>
          <w:szCs w:val="20"/>
          <w:lang w:val="cs-CZ"/>
        </w:rPr>
        <w:t>budovy</w:t>
      </w:r>
      <w:r w:rsidRPr="00A65A9F">
        <w:rPr>
          <w:rFonts w:ascii="Arial" w:hAnsi="Arial" w:cs="Arial"/>
          <w:sz w:val="20"/>
          <w:szCs w:val="20"/>
          <w:lang w:val="cs-CZ"/>
        </w:rPr>
        <w:t xml:space="preserve"> o rozloze 36 982 metrů čtverečních byla dokončena na podzim roku 2021 po dvou a půl letech.</w:t>
      </w:r>
      <w:r>
        <w:rPr>
          <w:rFonts w:ascii="Arial" w:hAnsi="Arial" w:cs="Arial"/>
          <w:sz w:val="20"/>
          <w:szCs w:val="20"/>
          <w:lang w:val="cs-CZ"/>
        </w:rPr>
        <w:t xml:space="preserve"> Na jaře loňského roku získal k</w:t>
      </w:r>
      <w:r w:rsidR="00A65A9F" w:rsidRPr="00A65A9F">
        <w:rPr>
          <w:rFonts w:ascii="Arial" w:hAnsi="Arial" w:cs="Arial"/>
          <w:sz w:val="20"/>
          <w:szCs w:val="20"/>
          <w:lang w:val="cs-CZ"/>
        </w:rPr>
        <w:t xml:space="preserve">ancelářský komplex </w:t>
      </w:r>
      <w:r w:rsidR="004E659A">
        <w:rPr>
          <w:rFonts w:ascii="Arial" w:hAnsi="Arial" w:cs="Arial"/>
          <w:sz w:val="20"/>
          <w:szCs w:val="20"/>
          <w:lang w:val="cs-CZ"/>
        </w:rPr>
        <w:t xml:space="preserve">HHQ </w:t>
      </w:r>
      <w:r w:rsidR="00A65A9F" w:rsidRPr="00A65A9F">
        <w:rPr>
          <w:rFonts w:ascii="Arial" w:hAnsi="Arial" w:cs="Arial"/>
          <w:sz w:val="20"/>
          <w:szCs w:val="20"/>
          <w:lang w:val="cs-CZ"/>
        </w:rPr>
        <w:t>prestižní cer</w:t>
      </w:r>
      <w:r w:rsidR="000E064D">
        <w:rPr>
          <w:rFonts w:ascii="Arial" w:hAnsi="Arial" w:cs="Arial"/>
          <w:sz w:val="20"/>
          <w:szCs w:val="20"/>
          <w:lang w:val="cs-CZ"/>
        </w:rPr>
        <w:t>t</w:t>
      </w:r>
      <w:r w:rsidR="00A65A9F" w:rsidRPr="00A65A9F">
        <w:rPr>
          <w:rFonts w:ascii="Arial" w:hAnsi="Arial" w:cs="Arial"/>
          <w:sz w:val="20"/>
          <w:szCs w:val="20"/>
          <w:lang w:val="cs-CZ"/>
        </w:rPr>
        <w:t xml:space="preserve">ifikaci LEED Platinum v kategorii New Construction v oblasti navrhování a výstavby environmentálně šetrných a udržitelných budov, což jej řadí k těm environmentálně nejšetrnějším v Evropě. Projekt ocenila rovněž společnost Schneider Electric, a to v rámci globální soutěže </w:t>
      </w:r>
      <w:hyperlink r:id="rId15" w:history="1">
        <w:r w:rsidR="00A65A9F" w:rsidRPr="005E73AC">
          <w:rPr>
            <w:rStyle w:val="Hypertextovodkaz"/>
            <w:rFonts w:ascii="Arial" w:hAnsi="Arial" w:cs="Arial"/>
            <w:sz w:val="20"/>
            <w:szCs w:val="20"/>
            <w:lang w:val="cs-CZ"/>
          </w:rPr>
          <w:t>Sustainability Impact Awards</w:t>
        </w:r>
      </w:hyperlink>
      <w:r w:rsidR="00A65A9F" w:rsidRPr="00A65A9F">
        <w:rPr>
          <w:rFonts w:ascii="Arial" w:hAnsi="Arial" w:cs="Arial"/>
          <w:sz w:val="20"/>
          <w:szCs w:val="20"/>
          <w:lang w:val="cs-CZ"/>
        </w:rPr>
        <w:t xml:space="preserve">, která </w:t>
      </w:r>
      <w:r>
        <w:rPr>
          <w:rFonts w:ascii="Arial" w:hAnsi="Arial" w:cs="Arial"/>
          <w:sz w:val="20"/>
          <w:szCs w:val="20"/>
          <w:lang w:val="cs-CZ"/>
        </w:rPr>
        <w:t>hodnotí</w:t>
      </w:r>
      <w:r w:rsidRPr="00A65A9F">
        <w:rPr>
          <w:rFonts w:ascii="Arial" w:hAnsi="Arial" w:cs="Arial"/>
          <w:sz w:val="20"/>
          <w:szCs w:val="20"/>
          <w:lang w:val="cs-CZ"/>
        </w:rPr>
        <w:t xml:space="preserve"> </w:t>
      </w:r>
      <w:r w:rsidR="00A65A9F" w:rsidRPr="00A65A9F">
        <w:rPr>
          <w:rFonts w:ascii="Arial" w:hAnsi="Arial" w:cs="Arial"/>
          <w:sz w:val="20"/>
          <w:szCs w:val="20"/>
          <w:lang w:val="cs-CZ"/>
        </w:rPr>
        <w:t>počínání partnerů společnosti v oblasti udržitelnosti. Ocenění získala společnost Build</w:t>
      </w:r>
      <w:r w:rsidR="00D36E84">
        <w:rPr>
          <w:rFonts w:ascii="Arial" w:hAnsi="Arial" w:cs="Arial"/>
          <w:sz w:val="20"/>
          <w:szCs w:val="20"/>
          <w:lang w:val="cs-CZ"/>
        </w:rPr>
        <w:t>s</w:t>
      </w:r>
      <w:r w:rsidR="00A65A9F" w:rsidRPr="00A65A9F">
        <w:rPr>
          <w:rFonts w:ascii="Arial" w:hAnsi="Arial" w:cs="Arial"/>
          <w:sz w:val="20"/>
          <w:szCs w:val="20"/>
          <w:lang w:val="cs-CZ"/>
        </w:rPr>
        <w:t>ys, přední dodavatel kompletního řešení a automatizace budov v Česku i na Slovensku, která celý projekt instalace inovativních technologií realizovala.</w:t>
      </w:r>
    </w:p>
    <w:p w14:paraId="028744E0" w14:textId="77777777" w:rsidR="00CC0701" w:rsidRPr="001C39B2" w:rsidRDefault="00CC0701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26B56EFC" w14:textId="77777777" w:rsidR="00A75F21" w:rsidRPr="001C39B2" w:rsidRDefault="00A75F21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6861EF8A" w14:textId="77777777" w:rsidR="00A75F21" w:rsidRPr="001C39B2" w:rsidRDefault="00A75F21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0803431E" w14:textId="77777777" w:rsidR="00A75F21" w:rsidRPr="001C39B2" w:rsidRDefault="00A75F21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1C4CD566" w14:textId="7D9EF3FE" w:rsidR="00B40176" w:rsidRPr="00B40176" w:rsidRDefault="00B40176" w:rsidP="26B8E7D2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5D1654F8" w14:textId="0B170C76" w:rsidR="00EF6B6A" w:rsidRDefault="00EF6B6A" w:rsidP="26B8E7D2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0F1EA18A" w14:textId="7E4F3D20" w:rsidR="00B40176" w:rsidRDefault="00B40176" w:rsidP="26B8E7D2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22D593B0" w14:textId="7B8B6963" w:rsidR="00B40176" w:rsidRDefault="00B40176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79CB0101" w14:textId="3626500F" w:rsidR="00B40176" w:rsidRDefault="00B40176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1FEDB79A" w14:textId="77954C02" w:rsidR="00B40176" w:rsidRDefault="00B40176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60FE7F8F" w14:textId="63E171AB" w:rsidR="00B40176" w:rsidRDefault="00B40176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049390D8" w14:textId="77777777" w:rsidR="0016744A" w:rsidRDefault="0016744A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49BA40A" w14:textId="77777777" w:rsidR="00033696" w:rsidRDefault="00033696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332C289F" w14:textId="77777777" w:rsidR="00033696" w:rsidRDefault="00033696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5DA52573" w14:textId="7874DAAF" w:rsidR="00A75F21" w:rsidRDefault="00A75F21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268A5CD" w14:textId="68569BD5" w:rsidR="009E6D99" w:rsidRDefault="00942E09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78BE1BC2" w14:textId="7DF3A501" w:rsidR="007F2660" w:rsidRPr="00BF4DE0" w:rsidRDefault="00942E09" w:rsidP="00BF4DE0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 globálních společností. Společnost Schneider prosazuje otevřené standardy a partnerské ekosystémy, které jsou založené na sdíleném smysluplném účelu, podporující integraci a posilující jejich hodnoty.</w:t>
      </w:r>
    </w:p>
    <w:p w14:paraId="6E9DF90A" w14:textId="77777777" w:rsidR="009E6D99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3C8092C" w14:textId="2D1D6898" w:rsidR="009957EC" w:rsidRDefault="009957EC" w:rsidP="009957EC">
      <w:pPr>
        <w:rPr>
          <w:lang w:val="cs-CZ"/>
        </w:rPr>
      </w:pPr>
    </w:p>
    <w:p w14:paraId="34797316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E0FCCF7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EBCC7E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2EA207E" w14:textId="27616EE3" w:rsidR="009957EC" w:rsidRPr="00F375DE" w:rsidRDefault="00000000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6">
        <w:r w:rsidR="009957EC" w:rsidRPr="00F375D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823F3B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6350417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51DE98AD" w14:textId="64FA1161" w:rsidR="009E6D99" w:rsidRPr="00A65A9F" w:rsidRDefault="009957E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A65A9F">
      <w:headerReference w:type="default" r:id="rId31"/>
      <w:footerReference w:type="default" r:id="rId32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BDC5" w14:textId="77777777" w:rsidR="00AE3244" w:rsidRDefault="00AE3244">
      <w:r>
        <w:separator/>
      </w:r>
    </w:p>
  </w:endnote>
  <w:endnote w:type="continuationSeparator" w:id="0">
    <w:p w14:paraId="26459F4A" w14:textId="77777777" w:rsidR="00AE3244" w:rsidRDefault="00AE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Arial"/>
    <w:charset w:val="EE"/>
    <w:family w:val="roman"/>
    <w:pitch w:val="variable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556638"/>
      <w:docPartObj>
        <w:docPartGallery w:val="Page Numbers (Bottom of Page)"/>
        <w:docPartUnique/>
      </w:docPartObj>
    </w:sdtPr>
    <w:sdtContent>
      <w:p w14:paraId="2376AB41" w14:textId="3904BE5E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042E9402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>
          <w:rPr>
            <w:rFonts w:ascii="Arial" w:hAnsi="Arial" w:cs="Arial"/>
            <w:sz w:val="16"/>
            <w:szCs w:val="16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F69B" w14:textId="77777777" w:rsidR="00AE3244" w:rsidRDefault="00AE3244">
      <w:r>
        <w:separator/>
      </w:r>
    </w:p>
  </w:footnote>
  <w:footnote w:type="continuationSeparator" w:id="0">
    <w:p w14:paraId="1260F190" w14:textId="77777777" w:rsidR="00AE3244" w:rsidRDefault="00AE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5467">
    <w:abstractNumId w:val="2"/>
  </w:num>
  <w:num w:numId="2" w16cid:durableId="545800044">
    <w:abstractNumId w:val="3"/>
  </w:num>
  <w:num w:numId="3" w16cid:durableId="558251186">
    <w:abstractNumId w:val="1"/>
  </w:num>
  <w:num w:numId="4" w16cid:durableId="650599482">
    <w:abstractNumId w:val="0"/>
  </w:num>
  <w:num w:numId="5" w16cid:durableId="1428695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2406A"/>
    <w:rsid w:val="00033696"/>
    <w:rsid w:val="00034E8B"/>
    <w:rsid w:val="0004133C"/>
    <w:rsid w:val="00046880"/>
    <w:rsid w:val="00060DA9"/>
    <w:rsid w:val="0007571E"/>
    <w:rsid w:val="000813F0"/>
    <w:rsid w:val="00095852"/>
    <w:rsid w:val="000B4C41"/>
    <w:rsid w:val="000C1172"/>
    <w:rsid w:val="000C405E"/>
    <w:rsid w:val="000E064D"/>
    <w:rsid w:val="00103E51"/>
    <w:rsid w:val="0011216F"/>
    <w:rsid w:val="00116D71"/>
    <w:rsid w:val="00122B61"/>
    <w:rsid w:val="001243AF"/>
    <w:rsid w:val="0014065B"/>
    <w:rsid w:val="0015160E"/>
    <w:rsid w:val="00155413"/>
    <w:rsid w:val="0016277C"/>
    <w:rsid w:val="0016744A"/>
    <w:rsid w:val="0017349A"/>
    <w:rsid w:val="00182269"/>
    <w:rsid w:val="00187561"/>
    <w:rsid w:val="00190BE7"/>
    <w:rsid w:val="001A6A83"/>
    <w:rsid w:val="001B5B2D"/>
    <w:rsid w:val="001C39B2"/>
    <w:rsid w:val="001D4419"/>
    <w:rsid w:val="001E4859"/>
    <w:rsid w:val="001F0392"/>
    <w:rsid w:val="001F3E1F"/>
    <w:rsid w:val="00203239"/>
    <w:rsid w:val="002109DB"/>
    <w:rsid w:val="00214696"/>
    <w:rsid w:val="00221053"/>
    <w:rsid w:val="00226F2B"/>
    <w:rsid w:val="002346E6"/>
    <w:rsid w:val="00246608"/>
    <w:rsid w:val="002542A6"/>
    <w:rsid w:val="00256226"/>
    <w:rsid w:val="002853FB"/>
    <w:rsid w:val="00290B64"/>
    <w:rsid w:val="002961AB"/>
    <w:rsid w:val="002D1F0B"/>
    <w:rsid w:val="002E257F"/>
    <w:rsid w:val="002F53C0"/>
    <w:rsid w:val="003025A0"/>
    <w:rsid w:val="00305C77"/>
    <w:rsid w:val="00311D78"/>
    <w:rsid w:val="00322EB0"/>
    <w:rsid w:val="00322F61"/>
    <w:rsid w:val="00345257"/>
    <w:rsid w:val="003456E8"/>
    <w:rsid w:val="00347AB6"/>
    <w:rsid w:val="00351A30"/>
    <w:rsid w:val="0037001A"/>
    <w:rsid w:val="00370A8C"/>
    <w:rsid w:val="003B1518"/>
    <w:rsid w:val="003B78AE"/>
    <w:rsid w:val="003C6DD9"/>
    <w:rsid w:val="003E7428"/>
    <w:rsid w:val="00405D87"/>
    <w:rsid w:val="00426239"/>
    <w:rsid w:val="00426C25"/>
    <w:rsid w:val="004373A3"/>
    <w:rsid w:val="0044352C"/>
    <w:rsid w:val="00447941"/>
    <w:rsid w:val="00453EEA"/>
    <w:rsid w:val="00454AF8"/>
    <w:rsid w:val="00494ABA"/>
    <w:rsid w:val="004A313A"/>
    <w:rsid w:val="004B1BEF"/>
    <w:rsid w:val="004D0C89"/>
    <w:rsid w:val="004D3DAA"/>
    <w:rsid w:val="004E659A"/>
    <w:rsid w:val="004E7FE0"/>
    <w:rsid w:val="0051067C"/>
    <w:rsid w:val="00512488"/>
    <w:rsid w:val="00521847"/>
    <w:rsid w:val="00523BD8"/>
    <w:rsid w:val="00533119"/>
    <w:rsid w:val="00533F5C"/>
    <w:rsid w:val="005451D7"/>
    <w:rsid w:val="00547D90"/>
    <w:rsid w:val="005510EE"/>
    <w:rsid w:val="00570083"/>
    <w:rsid w:val="00571514"/>
    <w:rsid w:val="0058271E"/>
    <w:rsid w:val="005831B3"/>
    <w:rsid w:val="00594EF6"/>
    <w:rsid w:val="005A44B5"/>
    <w:rsid w:val="005B207E"/>
    <w:rsid w:val="005D60B9"/>
    <w:rsid w:val="005E73AC"/>
    <w:rsid w:val="005E76E2"/>
    <w:rsid w:val="006034D5"/>
    <w:rsid w:val="00623F75"/>
    <w:rsid w:val="006303E4"/>
    <w:rsid w:val="00634E1C"/>
    <w:rsid w:val="00655904"/>
    <w:rsid w:val="006737A7"/>
    <w:rsid w:val="00691288"/>
    <w:rsid w:val="006917F4"/>
    <w:rsid w:val="006935C2"/>
    <w:rsid w:val="006A3A9C"/>
    <w:rsid w:val="006C2818"/>
    <w:rsid w:val="006C45A6"/>
    <w:rsid w:val="006D35F6"/>
    <w:rsid w:val="006D49D3"/>
    <w:rsid w:val="006F1795"/>
    <w:rsid w:val="0070637B"/>
    <w:rsid w:val="0071532F"/>
    <w:rsid w:val="007202A0"/>
    <w:rsid w:val="007501DB"/>
    <w:rsid w:val="00753F32"/>
    <w:rsid w:val="00762CCA"/>
    <w:rsid w:val="00764721"/>
    <w:rsid w:val="00792D50"/>
    <w:rsid w:val="007A5CFF"/>
    <w:rsid w:val="007B1C7B"/>
    <w:rsid w:val="007B37C4"/>
    <w:rsid w:val="007B62F3"/>
    <w:rsid w:val="007E1277"/>
    <w:rsid w:val="007F2660"/>
    <w:rsid w:val="007F297D"/>
    <w:rsid w:val="00800113"/>
    <w:rsid w:val="00805C1D"/>
    <w:rsid w:val="00807535"/>
    <w:rsid w:val="00830B6A"/>
    <w:rsid w:val="00841D52"/>
    <w:rsid w:val="00842632"/>
    <w:rsid w:val="00860E1D"/>
    <w:rsid w:val="008649FA"/>
    <w:rsid w:val="00886F2A"/>
    <w:rsid w:val="0089766F"/>
    <w:rsid w:val="008A3D47"/>
    <w:rsid w:val="008B3F12"/>
    <w:rsid w:val="008C04AD"/>
    <w:rsid w:val="008D2290"/>
    <w:rsid w:val="008D2324"/>
    <w:rsid w:val="008D5602"/>
    <w:rsid w:val="008E0E4B"/>
    <w:rsid w:val="008F2B54"/>
    <w:rsid w:val="008F36EF"/>
    <w:rsid w:val="009135F7"/>
    <w:rsid w:val="009242C0"/>
    <w:rsid w:val="0093304E"/>
    <w:rsid w:val="00942E09"/>
    <w:rsid w:val="009464CF"/>
    <w:rsid w:val="009505BB"/>
    <w:rsid w:val="009805A6"/>
    <w:rsid w:val="009879B0"/>
    <w:rsid w:val="00990DAC"/>
    <w:rsid w:val="009957EC"/>
    <w:rsid w:val="009C4904"/>
    <w:rsid w:val="009E6D99"/>
    <w:rsid w:val="009F31F1"/>
    <w:rsid w:val="009F67DE"/>
    <w:rsid w:val="009F6C7C"/>
    <w:rsid w:val="00A00598"/>
    <w:rsid w:val="00A04A27"/>
    <w:rsid w:val="00A2041A"/>
    <w:rsid w:val="00A30B1E"/>
    <w:rsid w:val="00A35B6A"/>
    <w:rsid w:val="00A442E7"/>
    <w:rsid w:val="00A54A4A"/>
    <w:rsid w:val="00A65A9F"/>
    <w:rsid w:val="00A665E7"/>
    <w:rsid w:val="00A75F21"/>
    <w:rsid w:val="00A76ED2"/>
    <w:rsid w:val="00A877E3"/>
    <w:rsid w:val="00AA0425"/>
    <w:rsid w:val="00AB3FEC"/>
    <w:rsid w:val="00AB5E56"/>
    <w:rsid w:val="00AE2E17"/>
    <w:rsid w:val="00AE3244"/>
    <w:rsid w:val="00AE6BCF"/>
    <w:rsid w:val="00AF4E5A"/>
    <w:rsid w:val="00B13CDE"/>
    <w:rsid w:val="00B200C9"/>
    <w:rsid w:val="00B315B8"/>
    <w:rsid w:val="00B317D0"/>
    <w:rsid w:val="00B40176"/>
    <w:rsid w:val="00B53537"/>
    <w:rsid w:val="00B67324"/>
    <w:rsid w:val="00B801E1"/>
    <w:rsid w:val="00BA5822"/>
    <w:rsid w:val="00BB5F02"/>
    <w:rsid w:val="00BC01E2"/>
    <w:rsid w:val="00BC1248"/>
    <w:rsid w:val="00BF4DE0"/>
    <w:rsid w:val="00BF5E87"/>
    <w:rsid w:val="00C24885"/>
    <w:rsid w:val="00C47389"/>
    <w:rsid w:val="00C5284D"/>
    <w:rsid w:val="00C658AF"/>
    <w:rsid w:val="00C73DE1"/>
    <w:rsid w:val="00C8780A"/>
    <w:rsid w:val="00CA3EBF"/>
    <w:rsid w:val="00CA707C"/>
    <w:rsid w:val="00CB10F7"/>
    <w:rsid w:val="00CB71CF"/>
    <w:rsid w:val="00CC0701"/>
    <w:rsid w:val="00CC1A16"/>
    <w:rsid w:val="00CC3B25"/>
    <w:rsid w:val="00CD00AE"/>
    <w:rsid w:val="00CD3615"/>
    <w:rsid w:val="00CE01CA"/>
    <w:rsid w:val="00D00A46"/>
    <w:rsid w:val="00D14AE0"/>
    <w:rsid w:val="00D15AB3"/>
    <w:rsid w:val="00D234F6"/>
    <w:rsid w:val="00D2698D"/>
    <w:rsid w:val="00D30663"/>
    <w:rsid w:val="00D311E0"/>
    <w:rsid w:val="00D32984"/>
    <w:rsid w:val="00D36E84"/>
    <w:rsid w:val="00D36F4D"/>
    <w:rsid w:val="00D40DD0"/>
    <w:rsid w:val="00D434C2"/>
    <w:rsid w:val="00D62769"/>
    <w:rsid w:val="00D6435F"/>
    <w:rsid w:val="00D6467E"/>
    <w:rsid w:val="00D84919"/>
    <w:rsid w:val="00DA3A9F"/>
    <w:rsid w:val="00DC56E9"/>
    <w:rsid w:val="00DC5CA1"/>
    <w:rsid w:val="00DD6FDD"/>
    <w:rsid w:val="00DF1F80"/>
    <w:rsid w:val="00E0326D"/>
    <w:rsid w:val="00E3231F"/>
    <w:rsid w:val="00E44E8F"/>
    <w:rsid w:val="00E66281"/>
    <w:rsid w:val="00E73ED3"/>
    <w:rsid w:val="00E73F4D"/>
    <w:rsid w:val="00E802B8"/>
    <w:rsid w:val="00E82E0E"/>
    <w:rsid w:val="00E874BB"/>
    <w:rsid w:val="00EA1E97"/>
    <w:rsid w:val="00EA2A2E"/>
    <w:rsid w:val="00EA4589"/>
    <w:rsid w:val="00EB3965"/>
    <w:rsid w:val="00ED2C2A"/>
    <w:rsid w:val="00ED4862"/>
    <w:rsid w:val="00EF6B6A"/>
    <w:rsid w:val="00F056E1"/>
    <w:rsid w:val="00F06459"/>
    <w:rsid w:val="00F16DD7"/>
    <w:rsid w:val="00F16ED1"/>
    <w:rsid w:val="00F364E8"/>
    <w:rsid w:val="00F63007"/>
    <w:rsid w:val="00F64012"/>
    <w:rsid w:val="00F66CEE"/>
    <w:rsid w:val="00F67F7B"/>
    <w:rsid w:val="00F7490C"/>
    <w:rsid w:val="00F80E0F"/>
    <w:rsid w:val="00F82B94"/>
    <w:rsid w:val="00F83315"/>
    <w:rsid w:val="00F917E0"/>
    <w:rsid w:val="00F93FAA"/>
    <w:rsid w:val="00FB2A8E"/>
    <w:rsid w:val="00FB3C16"/>
    <w:rsid w:val="00FB6729"/>
    <w:rsid w:val="00FE4C4B"/>
    <w:rsid w:val="081AF3A8"/>
    <w:rsid w:val="26B8E7D2"/>
    <w:rsid w:val="2DDA14A8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semiHidden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product-range/62111-ecostruxure-building-operation/" TargetMode="External"/><Relationship Id="rId18" Type="http://schemas.openxmlformats.org/officeDocument/2006/relationships/image" Target="media/image1.wmf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SchneiderElectricCZ/?brand_redir=597372713700290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0n4-jqRhBUY" TargetMode="External"/><Relationship Id="rId17" Type="http://schemas.openxmlformats.org/officeDocument/2006/relationships/hyperlink" Target="https://www.se.com/ww/en/work/campaign/life-is-on/life-is-on.jsp" TargetMode="External"/><Relationship Id="rId25" Type="http://schemas.openxmlformats.org/officeDocument/2006/relationships/hyperlink" Target="https://www.youtube.com/@SchneiderElectricCZ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cz/cs/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blog.schneider-electric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image" Target="media/image4.pn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e.com/ww/en/work/campaign/sustainability-impact-awards/" TargetMode="External"/><Relationship Id="rId23" Type="http://schemas.openxmlformats.org/officeDocument/2006/relationships/hyperlink" Target="https://www.linkedin.com/company/schneider-electric" TargetMode="External"/><Relationship Id="rId28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hyperlink" Target="https://twitter.com/SchneiderElec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product-range/1424-syst%C3%A9m-knx/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instagram.com/schneiderelectric/" TargetMode="External"/><Relationship Id="rId30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7" ma:contentTypeDescription="Vytvoří nový dokument" ma:contentTypeScope="" ma:versionID="76fcb9d83123c0f0012259b1857bc05c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cf00371a7325d97bbc589a1c702091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41897-0C9C-4FFC-B951-CBE0ADA8C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942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5</cp:revision>
  <cp:lastPrinted>2023-09-12T13:06:00Z</cp:lastPrinted>
  <dcterms:created xsi:type="dcterms:W3CDTF">2024-01-22T12:18:00Z</dcterms:created>
  <dcterms:modified xsi:type="dcterms:W3CDTF">2024-02-08T10:16:00Z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